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799"/>
        <w:gridCol w:w="912"/>
        <w:gridCol w:w="1076"/>
        <w:gridCol w:w="195"/>
        <w:gridCol w:w="58"/>
        <w:gridCol w:w="1064"/>
        <w:gridCol w:w="136"/>
        <w:gridCol w:w="545"/>
        <w:gridCol w:w="1070"/>
        <w:gridCol w:w="185"/>
        <w:gridCol w:w="1379"/>
        <w:gridCol w:w="150"/>
      </w:tblGrid>
      <w:tr w:rsidR="006F7B58">
        <w:trPr>
          <w:trHeight w:val="78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36"/>
                <w:shd w:val="clear" w:color="auto" w:fill="FFFFFF"/>
              </w:rPr>
              <w:t>信利半导体</w:t>
            </w:r>
            <w:r>
              <w:rPr>
                <w:rFonts w:ascii="宋体" w:hAnsi="宋体"/>
                <w:sz w:val="36"/>
                <w:shd w:val="clear" w:color="auto" w:fill="FFFFFF"/>
              </w:rPr>
              <w:t>有限公司环保信息公开表</w:t>
            </w:r>
          </w:p>
        </w:tc>
      </w:tr>
      <w:tr w:rsidR="006F7B58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单位基本信息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单位名称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信利半导体有限公司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组织机构代码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91441500723829525E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单位地址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汕尾市区东冲路北段工业区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地理位置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东经115°2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″北纬22°4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法定代表人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林伟华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0660-3243752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环保负责人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宋贝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贝</w:t>
            </w:r>
            <w:proofErr w:type="gramEnd"/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0660-3383841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行业类别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半导体电子元器件制造业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516600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生产周期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300天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电子信箱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</w:tr>
      <w:tr w:rsidR="006F7B58" w:rsidTr="002D7722">
        <w:trPr>
          <w:trHeight w:val="1965"/>
          <w:tblCellSpacing w:w="15" w:type="dxa"/>
          <w:jc w:val="center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单位简介</w:t>
            </w:r>
          </w:p>
        </w:tc>
        <w:tc>
          <w:tcPr>
            <w:tcW w:w="29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信利半导体有限公司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位于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汕尾市区工业大道信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城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，主要生产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液晶显示模块、液晶显示器、有机电致发光二极管（OLED）显示器及（OLED）显示模块等半导体产品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年产能情况，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S-MDS液晶显示模块约10000万片，液晶显示模块约3000万片，S-LCM液晶显示模块约2000万片。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污染源管理级别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市控</w:t>
            </w:r>
          </w:p>
        </w:tc>
      </w:tr>
      <w:tr w:rsidR="006F7B58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广东省地方标准《水污染物排放限值》</w:t>
            </w:r>
          </w:p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DB44/26-2001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）一级标准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信利1#废水处理站排放口（坐标为22°47′36″，115°23′19″）</w:t>
            </w:r>
          </w:p>
        </w:tc>
      </w:tr>
      <w:tr w:rsidR="006F7B58" w:rsidTr="002D7722">
        <w:trPr>
          <w:trHeight w:val="70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信利3#废水处理站排放口（坐标为22°47′18″，115°23′03″）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磷，氟离子</w:t>
            </w:r>
          </w:p>
        </w:tc>
      </w:tr>
      <w:tr w:rsidR="006F7B58" w:rsidTr="002D7722">
        <w:trPr>
          <w:trHeight w:val="39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0mg/L，氨氮：10mg/L</w:t>
            </w:r>
          </w:p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磷：0.5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，氟离子：</w:t>
            </w:r>
            <w:r>
              <w:rPr>
                <w:rFonts w:ascii="宋体" w:hAnsi="宋体"/>
                <w:sz w:val="18"/>
                <w:shd w:val="clear" w:color="auto" w:fill="FFFFFF"/>
              </w:rPr>
              <w:t>10mg/L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202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  <w:r>
              <w:rPr>
                <w:rFonts w:ascii="宋体" w:hAnsi="宋体"/>
                <w:sz w:val="18"/>
                <w:shd w:val="clear" w:color="auto" w:fill="FFFFFF"/>
              </w:rPr>
              <w:t>实际排放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总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>量</w:t>
            </w:r>
          </w:p>
        </w:tc>
        <w:tc>
          <w:tcPr>
            <w:tcW w:w="3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 w:rsidP="00A363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22.359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0.281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148.4143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吨/年，氨氮：</w:t>
            </w:r>
            <w:r w:rsidR="00A363F9">
              <w:rPr>
                <w:rFonts w:ascii="宋体" w:hAnsi="宋体" w:hint="eastAsia"/>
                <w:sz w:val="18"/>
                <w:shd w:val="clear" w:color="auto" w:fill="FFFFFF"/>
              </w:rPr>
              <w:t>8.9863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A363F9" w:rsidP="00A363F9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间断排放，排放期间流量不稳定且无规律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，但不属于冲击型排放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市政排污管道,再进入汕尾市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东区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污水</w:t>
            </w:r>
            <w:r w:rsidR="007522A3">
              <w:rPr>
                <w:rFonts w:ascii="宋体" w:hAnsi="宋体" w:hint="eastAsia"/>
                <w:sz w:val="18"/>
                <w:shd w:val="clear" w:color="auto" w:fill="FFFFFF"/>
              </w:rPr>
              <w:t>净化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处理厂</w:t>
            </w:r>
          </w:p>
        </w:tc>
      </w:tr>
      <w:tr w:rsidR="006F7B58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废气排放信息</w:t>
            </w:r>
          </w:p>
        </w:tc>
      </w:tr>
      <w:tr w:rsidR="006F7B58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18个</w:t>
            </w:r>
          </w:p>
        </w:tc>
      </w:tr>
      <w:tr w:rsidR="006F7B58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备注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详见检测报告 </w:t>
            </w: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噪声排放信息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GB12348-2008中的3类标准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规定排放限值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白天65分贝   晚上55分贝</w:t>
            </w:r>
          </w:p>
        </w:tc>
      </w:tr>
      <w:tr w:rsidR="006F7B58" w:rsidTr="002D7722">
        <w:trPr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连续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实际监测数值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 w:rsidP="00EE0AB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 w:rsidR="00EE0AB3">
              <w:rPr>
                <w:rFonts w:ascii="宋体" w:hAnsi="宋体"/>
                <w:sz w:val="18"/>
                <w:shd w:val="clear" w:color="auto" w:fill="FFFFFF"/>
              </w:rPr>
              <w:t>6</w:t>
            </w:r>
            <w:r w:rsidR="00EE0AB3"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   晚上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 w:rsidR="00EE0AB3"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</w:t>
            </w:r>
          </w:p>
        </w:tc>
      </w:tr>
      <w:tr w:rsidR="006F7B58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6F7B58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7B58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危险废物排放信息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(202</w:t>
            </w:r>
            <w:r w:rsidR="007522A3">
              <w:rPr>
                <w:rFonts w:ascii="宋体" w:hAnsi="宋体" w:hint="eastAsia"/>
                <w:sz w:val="30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年)</w:t>
            </w:r>
          </w:p>
        </w:tc>
      </w:tr>
      <w:tr w:rsidR="006F7B58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B58" w:rsidRDefault="00F474A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处置/回收情况</w:t>
            </w:r>
          </w:p>
        </w:tc>
      </w:tr>
      <w:tr w:rsidR="00853DF9" w:rsidTr="002D7722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废酸渣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370.23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9.2</w:t>
            </w:r>
          </w:p>
        </w:tc>
        <w:tc>
          <w:tcPr>
            <w:tcW w:w="3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4A" w:rsidRPr="00BF4B4A" w:rsidRDefault="00853DF9" w:rsidP="00BF4B4A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惠州市东江环保技术有限公司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>
              <w:rPr>
                <w:rFonts w:ascii="宋体" w:hAnsi="宋体"/>
                <w:sz w:val="18"/>
                <w:shd w:val="clear" w:color="auto" w:fill="FFFFFF"/>
              </w:rPr>
              <w:t>东莞瑞众新材料科技有限公司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Pr="00853DF9">
              <w:rPr>
                <w:rFonts w:ascii="宋体" w:hAnsi="宋体" w:hint="eastAsia"/>
                <w:sz w:val="18"/>
                <w:shd w:val="clear" w:color="auto" w:fill="FFFFFF"/>
              </w:rPr>
              <w:t>深圳市环保科技集团股份有限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Pr="00853DF9">
              <w:rPr>
                <w:rFonts w:ascii="宋体" w:hAnsi="宋体" w:hint="eastAsia"/>
                <w:sz w:val="18"/>
                <w:shd w:val="clear" w:color="auto" w:fill="FFFFFF"/>
              </w:rPr>
              <w:t>珠海汇华环保技术有限公司，</w:t>
            </w:r>
            <w:r w:rsidR="00BF4B4A" w:rsidRPr="00BF4B4A">
              <w:rPr>
                <w:rFonts w:ascii="宋体" w:hAnsi="宋体" w:hint="eastAsia"/>
                <w:sz w:val="18"/>
                <w:shd w:val="clear" w:color="auto" w:fill="FFFFFF"/>
              </w:rPr>
              <w:t>南雄市绿炭再生资源有限公司</w:t>
            </w: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等有资质的处理公司</w:t>
            </w:r>
            <w:r>
              <w:rPr>
                <w:rFonts w:ascii="宋体" w:hAnsi="宋体"/>
                <w:sz w:val="18"/>
                <w:shd w:val="clear" w:color="auto" w:fill="FFFFFF"/>
              </w:rPr>
              <w:t>处置</w:t>
            </w:r>
          </w:p>
        </w:tc>
      </w:tr>
      <w:tr w:rsidR="00853DF9" w:rsidTr="002D7722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废天那水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231.6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10.13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507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废混合酸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1"/>
            <w:bookmarkEnd w:id="2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3" w:name="OLE_LINK3"/>
            <w:bookmarkStart w:id="4" w:name="OLE_LINK4"/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  <w:bookmarkEnd w:id="3"/>
            <w:bookmarkEnd w:id="4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209.29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12.1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废剥离液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45.97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废铝蚀刻液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5" w:name="OLE_LINK5"/>
            <w:bookmarkStart w:id="6" w:name="OLE_LINK6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5"/>
            <w:bookmarkEnd w:id="6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36.6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2.37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废活性炭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7" w:name="OLE_LINK7"/>
            <w:bookmarkStart w:id="8" w:name="OLE_LINK8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7"/>
            <w:bookmarkEnd w:id="8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30.06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7.65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板材药水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9.49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1.14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醋酸丁酯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9" w:name="OLE_LINK9"/>
            <w:bookmarkStart w:id="10" w:name="OLE_LINK10"/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  <w:bookmarkEnd w:id="9"/>
            <w:bookmarkEnd w:id="10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7.67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0.92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废定向液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6.39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2.19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废清洗剂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bookmarkStart w:id="11" w:name="OLE_LINK11"/>
            <w:bookmarkStart w:id="12" w:name="OLE_LINK12"/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  <w:bookmarkEnd w:id="11"/>
            <w:bookmarkEnd w:id="12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7.15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0.67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特气焚烧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粉尘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4.48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光刻胶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3.64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0.56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抹布手套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2.3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沾有化学品的物品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2.69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0.04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废机油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0.36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测试废液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8350A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0.29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丙酮废液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0.42</w:t>
            </w:r>
          </w:p>
        </w:tc>
        <w:tc>
          <w:tcPr>
            <w:tcW w:w="3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853DF9" w:rsidTr="002D7722">
        <w:trPr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853DF9" w:rsidTr="002D7722">
        <w:trPr>
          <w:trHeight w:val="60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出水口安装在线监测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1季度/</w:t>
            </w:r>
            <w:r>
              <w:rPr>
                <w:rFonts w:ascii="宋体" w:hAnsi="宋体"/>
                <w:sz w:val="18"/>
                <w:shd w:val="clear" w:color="auto" w:fill="FFFFFF"/>
              </w:rPr>
              <w:t>次</w:t>
            </w:r>
          </w:p>
        </w:tc>
      </w:tr>
      <w:tr w:rsidR="00853DF9" w:rsidTr="002D7722">
        <w:trPr>
          <w:trHeight w:val="2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详见在线监测数据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Style w:val="a5"/>
                <w:rFonts w:ascii="宋体" w:hAnsi="宋体" w:hint="eastAsia"/>
                <w:sz w:val="18"/>
                <w:shd w:val="clear" w:color="auto" w:fill="FFFFFF"/>
              </w:rPr>
              <w:t>详见检测报告</w:t>
            </w: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水污染治理设施建设运营信息</w:t>
            </w:r>
          </w:p>
        </w:tc>
      </w:tr>
      <w:tr w:rsidR="00853DF9" w:rsidTr="002D7722">
        <w:trPr>
          <w:trHeight w:val="57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14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 w:rsidP="00CD1BA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2925.6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1#含氟废水处理系统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14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物化法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16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600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839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3#含氟废水处理系统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16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物化法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30"/>
                <w:shd w:val="clear" w:color="auto" w:fill="FFFFFF"/>
              </w:rPr>
              <w:t>评及其</w:t>
            </w:r>
            <w:proofErr w:type="gramEnd"/>
            <w:r>
              <w:rPr>
                <w:rFonts w:ascii="宋体" w:hAnsi="宋体"/>
                <w:sz w:val="30"/>
                <w:shd w:val="clear" w:color="auto" w:fill="FFFFFF"/>
              </w:rPr>
              <w:t>它行政许可信息</w:t>
            </w:r>
          </w:p>
        </w:tc>
      </w:tr>
      <w:tr w:rsidR="00853DF9" w:rsidTr="002D7722">
        <w:trPr>
          <w:trHeight w:val="43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行政许可名称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项目文件名称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编制/</w:t>
            </w:r>
            <w:r>
              <w:rPr>
                <w:rFonts w:ascii="宋体" w:hAnsi="宋体"/>
                <w:sz w:val="18"/>
                <w:shd w:val="clear" w:color="auto" w:fill="FFFFFF"/>
              </w:rPr>
              <w:t>审批单位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文号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内容说明</w:t>
            </w:r>
          </w:p>
        </w:tc>
      </w:tr>
      <w:tr w:rsidR="00853DF9" w:rsidTr="002D7722">
        <w:trPr>
          <w:trHeight w:val="5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项目环评报告</w:t>
            </w:r>
            <w:proofErr w:type="gramEnd"/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信利半导体有限公司玻璃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精密薄化加工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生产线建设项目环境影响报告书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北京欣国环环境技术发展有限公司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因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涉商业秘密且文件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太大，需要者与本单位联系，依申请提供复印件。</w:t>
            </w:r>
          </w:p>
        </w:tc>
      </w:tr>
      <w:tr w:rsidR="00853DF9" w:rsidTr="002D7722">
        <w:trPr>
          <w:trHeight w:val="93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评报告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批复文件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汕尾市环境保护局关于信利半导体有限公司玻璃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精密薄化加工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生产线建设项目环境影响报告书的批复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[2017]193号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trHeight w:val="67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治理设施验收意见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同意信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利半导体有限公司综合污水站技术改造（扩建）工程建设项目通过竣工环境保护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lastRenderedPageBreak/>
              <w:t>验收的函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lastRenderedPageBreak/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[2015]306号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 w:rsidTr="002D7722">
        <w:trPr>
          <w:trHeight w:val="55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lastRenderedPageBreak/>
              <w:t>排污许可证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国家</w:t>
            </w:r>
            <w:r>
              <w:rPr>
                <w:rFonts w:ascii="宋体" w:hAnsi="宋体"/>
                <w:sz w:val="18"/>
                <w:shd w:val="clear" w:color="auto" w:fill="FFFFFF"/>
              </w:rPr>
              <w:t>排放许可证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中国生态环境部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91441500723829525E001V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</w:p>
        </w:tc>
      </w:tr>
      <w:tr w:rsidR="00853DF9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853DF9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环境突发事件应急信息</w:t>
            </w:r>
          </w:p>
        </w:tc>
      </w:tr>
      <w:tr w:rsidR="00853DF9" w:rsidTr="002D7722">
        <w:trPr>
          <w:trHeight w:val="61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突发环境事件应急预案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已编制应急预案，具体内容详见信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城环境污染事故应急预案</w:t>
            </w:r>
          </w:p>
        </w:tc>
      </w:tr>
      <w:tr w:rsidR="00853DF9" w:rsidTr="002D7722">
        <w:trPr>
          <w:trHeight w:val="61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应急预案备案情况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备案号为441502-2022-0013-M</w:t>
            </w:r>
          </w:p>
        </w:tc>
      </w:tr>
      <w:tr w:rsidR="00853DF9" w:rsidTr="002D7722">
        <w:trPr>
          <w:trHeight w:val="585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环境风险防范工作开展情况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每年进行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hd w:val="clear" w:color="auto" w:fill="FFFFFF"/>
              </w:rPr>
              <w:t>次化学品安全使用与管理知识培训及演习、消防知识培训及演习</w:t>
            </w:r>
          </w:p>
        </w:tc>
      </w:tr>
      <w:tr w:rsidR="00853DF9" w:rsidTr="002D7722">
        <w:trPr>
          <w:trHeight w:val="810"/>
          <w:tblCellSpacing w:w="15" w:type="dxa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突发环境事件发生及处置情况</w:t>
            </w:r>
          </w:p>
        </w:tc>
        <w:tc>
          <w:tcPr>
            <w:tcW w:w="75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DF9" w:rsidRDefault="00853DF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近3年</w:t>
            </w:r>
            <w:r>
              <w:rPr>
                <w:rFonts w:ascii="宋体" w:hAnsi="宋体"/>
                <w:sz w:val="18"/>
                <w:shd w:val="clear" w:color="auto" w:fill="FFFFFF"/>
              </w:rPr>
              <w:t>无突发环境事件</w:t>
            </w:r>
          </w:p>
        </w:tc>
      </w:tr>
    </w:tbl>
    <w:p w:rsidR="006F7B58" w:rsidRDefault="006F7B58"/>
    <w:sectPr w:rsidR="006F7B58" w:rsidSect="006F7B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B3" w:rsidRDefault="00D465B3" w:rsidP="00A363F9">
      <w:r>
        <w:separator/>
      </w:r>
    </w:p>
  </w:endnote>
  <w:endnote w:type="continuationSeparator" w:id="0">
    <w:p w:rsidR="00D465B3" w:rsidRDefault="00D465B3" w:rsidP="00A3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B3" w:rsidRDefault="00D465B3" w:rsidP="00A363F9">
      <w:r>
        <w:separator/>
      </w:r>
    </w:p>
  </w:footnote>
  <w:footnote w:type="continuationSeparator" w:id="0">
    <w:p w:rsidR="00D465B3" w:rsidRDefault="00D465B3" w:rsidP="00A36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D7722"/>
    <w:rsid w:val="003607E7"/>
    <w:rsid w:val="00393038"/>
    <w:rsid w:val="003A7A73"/>
    <w:rsid w:val="003F34CB"/>
    <w:rsid w:val="004F5904"/>
    <w:rsid w:val="006F7B58"/>
    <w:rsid w:val="00714018"/>
    <w:rsid w:val="007522A3"/>
    <w:rsid w:val="00783503"/>
    <w:rsid w:val="007E614F"/>
    <w:rsid w:val="00853DF9"/>
    <w:rsid w:val="00A363F9"/>
    <w:rsid w:val="00AE419A"/>
    <w:rsid w:val="00BE4160"/>
    <w:rsid w:val="00BF4B4A"/>
    <w:rsid w:val="00C45AD0"/>
    <w:rsid w:val="00C80DBC"/>
    <w:rsid w:val="00CB6471"/>
    <w:rsid w:val="00CD1BAE"/>
    <w:rsid w:val="00D465B3"/>
    <w:rsid w:val="00E6369B"/>
    <w:rsid w:val="00EE0AB3"/>
    <w:rsid w:val="00F474A3"/>
    <w:rsid w:val="00F851C5"/>
    <w:rsid w:val="11192CBA"/>
    <w:rsid w:val="1C7447A7"/>
    <w:rsid w:val="22AF53F4"/>
    <w:rsid w:val="6B16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7B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F7B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6F7B58"/>
    <w:rPr>
      <w:color w:val="800080"/>
      <w:u w:val="single"/>
    </w:rPr>
  </w:style>
  <w:style w:type="character" w:styleId="a6">
    <w:name w:val="Hyperlink"/>
    <w:basedOn w:val="a0"/>
    <w:qFormat/>
    <w:rsid w:val="006F7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07730-F63D-485E-8247-165840E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信利半导体有限公司环保信息公开表</dc:title>
  <dc:creator>wushuizhansbk</dc:creator>
  <cp:lastModifiedBy>w764</cp:lastModifiedBy>
  <cp:revision>7</cp:revision>
  <dcterms:created xsi:type="dcterms:W3CDTF">2022-07-07T01:44:00Z</dcterms:created>
  <dcterms:modified xsi:type="dcterms:W3CDTF">2025-09-19T03:10:00Z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